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color w:val="auto"/>
          <w:sz w:val="30"/>
          <w:szCs w:val="30"/>
          <w:lang w:val="en-US" w:eastAsia="zh-CN"/>
        </w:rPr>
      </w:pPr>
      <w:bookmarkStart w:id="0" w:name="_GoBack"/>
      <w:r>
        <w:rPr>
          <w:rFonts w:hint="eastAsia" w:ascii="微软雅黑" w:hAnsi="微软雅黑" w:eastAsia="微软雅黑" w:cs="微软雅黑"/>
          <w:b/>
          <w:bCs/>
          <w:color w:val="auto"/>
          <w:sz w:val="30"/>
          <w:szCs w:val="30"/>
          <w:lang w:val="en-US" w:eastAsia="zh-CN"/>
        </w:rPr>
        <w:t>医学院</w:t>
      </w:r>
      <w:r>
        <w:rPr>
          <w:rFonts w:hint="eastAsia" w:ascii="宋体" w:hAnsi="宋体" w:eastAsia="宋体" w:cs="宋体"/>
          <w:b/>
          <w:bCs/>
          <w:color w:val="auto"/>
          <w:sz w:val="30"/>
          <w:szCs w:val="30"/>
          <w:lang w:val="en-US" w:eastAsia="zh-CN"/>
        </w:rPr>
        <w:t>·</w:t>
      </w:r>
      <w:r>
        <w:rPr>
          <w:rFonts w:hint="eastAsia" w:ascii="微软雅黑" w:hAnsi="微软雅黑" w:eastAsia="微软雅黑" w:cs="微软雅黑"/>
          <w:b/>
          <w:bCs/>
          <w:color w:val="auto"/>
          <w:sz w:val="30"/>
          <w:szCs w:val="30"/>
          <w:lang w:val="en-US" w:eastAsia="zh-CN"/>
        </w:rPr>
        <w:t>整合医学学院本科生导师制培养实施办法</w:t>
      </w:r>
    </w:p>
    <w:bookmarkEnd w:id="0"/>
    <w:p>
      <w:pPr>
        <w:jc w:val="center"/>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（2018级临床医学、生物技术专业试行版）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w:t>
      </w:r>
      <w:r>
        <w:rPr>
          <w:rFonts w:hint="eastAsia" w:ascii="仿宋" w:hAnsi="仿宋" w:eastAsia="仿宋" w:cs="仿宋"/>
          <w:color w:val="auto"/>
          <w:sz w:val="28"/>
          <w:szCs w:val="28"/>
          <w:lang w:val="en-US" w:eastAsia="zh-CN"/>
        </w:rPr>
        <w:t>充分体现本科生教育“以学生为中心”“因材施教”的原则，更好地</w:t>
      </w:r>
      <w:r>
        <w:rPr>
          <w:rFonts w:hint="eastAsia" w:ascii="仿宋" w:hAnsi="仿宋" w:eastAsia="仿宋" w:cs="仿宋"/>
          <w:color w:val="auto"/>
          <w:sz w:val="28"/>
          <w:szCs w:val="28"/>
        </w:rPr>
        <w:t>发挥学院的学术资源优势</w:t>
      </w:r>
      <w:r>
        <w:rPr>
          <w:rFonts w:hint="eastAsia" w:ascii="仿宋" w:hAnsi="仿宋" w:eastAsia="仿宋" w:cs="仿宋"/>
          <w:color w:val="auto"/>
          <w:sz w:val="28"/>
          <w:szCs w:val="28"/>
          <w:lang w:val="en-US" w:eastAsia="zh-CN"/>
        </w:rPr>
        <w:t>在</w:t>
      </w:r>
      <w:r>
        <w:rPr>
          <w:rFonts w:hint="eastAsia" w:ascii="仿宋" w:hAnsi="仿宋" w:eastAsia="仿宋" w:cs="仿宋"/>
          <w:color w:val="auto"/>
          <w:sz w:val="28"/>
          <w:szCs w:val="28"/>
        </w:rPr>
        <w:t>拓展</w:t>
      </w:r>
      <w:r>
        <w:rPr>
          <w:rFonts w:hint="eastAsia" w:ascii="仿宋" w:hAnsi="仿宋" w:eastAsia="仿宋" w:cs="仿宋"/>
          <w:color w:val="auto"/>
          <w:sz w:val="28"/>
          <w:szCs w:val="28"/>
          <w:lang w:val="en-US" w:eastAsia="zh-CN"/>
        </w:rPr>
        <w:t>大</w:t>
      </w:r>
      <w:r>
        <w:rPr>
          <w:rFonts w:hint="eastAsia" w:ascii="仿宋" w:hAnsi="仿宋" w:eastAsia="仿宋" w:cs="仿宋"/>
          <w:color w:val="auto"/>
          <w:sz w:val="28"/>
          <w:szCs w:val="28"/>
        </w:rPr>
        <w:t>学生的学科视野，</w:t>
      </w:r>
      <w:r>
        <w:rPr>
          <w:rFonts w:hint="eastAsia" w:ascii="仿宋" w:hAnsi="仿宋" w:eastAsia="仿宋" w:cs="仿宋"/>
          <w:color w:val="auto"/>
          <w:sz w:val="28"/>
          <w:szCs w:val="28"/>
          <w:lang w:val="en-US" w:eastAsia="zh-CN"/>
        </w:rPr>
        <w:t>培养和提升</w:t>
      </w:r>
      <w:r>
        <w:rPr>
          <w:rFonts w:hint="eastAsia" w:ascii="仿宋" w:hAnsi="仿宋" w:eastAsia="仿宋" w:cs="仿宋"/>
          <w:color w:val="auto"/>
          <w:sz w:val="28"/>
          <w:szCs w:val="28"/>
        </w:rPr>
        <w:t>学术研究与创新思维能力，促进</w:t>
      </w:r>
      <w:r>
        <w:rPr>
          <w:rFonts w:hint="eastAsia" w:ascii="仿宋" w:hAnsi="仿宋" w:eastAsia="仿宋" w:cs="仿宋"/>
          <w:color w:val="auto"/>
          <w:sz w:val="28"/>
          <w:szCs w:val="28"/>
          <w:lang w:val="en-US" w:eastAsia="zh-CN"/>
        </w:rPr>
        <w:t>学生全面</w:t>
      </w:r>
      <w:r>
        <w:rPr>
          <w:rFonts w:hint="eastAsia" w:ascii="仿宋" w:hAnsi="仿宋" w:eastAsia="仿宋" w:cs="仿宋"/>
          <w:color w:val="auto"/>
          <w:sz w:val="28"/>
          <w:szCs w:val="28"/>
        </w:rPr>
        <w:t>发展</w:t>
      </w:r>
      <w:r>
        <w:rPr>
          <w:rFonts w:hint="eastAsia" w:ascii="仿宋" w:hAnsi="仿宋" w:eastAsia="仿宋" w:cs="仿宋"/>
          <w:color w:val="auto"/>
          <w:sz w:val="28"/>
          <w:szCs w:val="28"/>
          <w:lang w:val="en-US" w:eastAsia="zh-CN"/>
        </w:rPr>
        <w:t>的作用</w:t>
      </w:r>
      <w:r>
        <w:rPr>
          <w:rFonts w:hint="eastAsia" w:ascii="仿宋" w:hAnsi="仿宋" w:eastAsia="仿宋" w:cs="仿宋"/>
          <w:color w:val="auto"/>
          <w:sz w:val="28"/>
          <w:szCs w:val="28"/>
        </w:rPr>
        <w:t>，根据《南京中医药大学关于本科生实施导师制培养模式的</w:t>
      </w:r>
      <w:r>
        <w:rPr>
          <w:rFonts w:hint="eastAsia" w:ascii="仿宋" w:hAnsi="仿宋" w:eastAsia="仿宋" w:cs="仿宋"/>
          <w:color w:val="auto"/>
          <w:sz w:val="28"/>
          <w:szCs w:val="28"/>
          <w:lang w:val="en-US" w:eastAsia="zh-CN"/>
        </w:rPr>
        <w:t>试</w:t>
      </w:r>
      <w:r>
        <w:rPr>
          <w:rFonts w:hint="eastAsia" w:ascii="仿宋" w:hAnsi="仿宋" w:eastAsia="仿宋" w:cs="仿宋"/>
          <w:color w:val="auto"/>
          <w:sz w:val="28"/>
          <w:szCs w:val="28"/>
        </w:rPr>
        <w:t>行办法》的相关规定，将面向</w:t>
      </w:r>
      <w:r>
        <w:rPr>
          <w:rFonts w:hint="eastAsia" w:ascii="仿宋" w:hAnsi="仿宋" w:eastAsia="仿宋" w:cs="仿宋"/>
          <w:color w:val="auto"/>
          <w:sz w:val="28"/>
          <w:szCs w:val="28"/>
          <w:lang w:val="en-US" w:eastAsia="zh-CN"/>
        </w:rPr>
        <w:t>我院部分优秀</w:t>
      </w:r>
      <w:r>
        <w:rPr>
          <w:rFonts w:hint="eastAsia" w:ascii="仿宋" w:hAnsi="仿宋" w:eastAsia="仿宋" w:cs="仿宋"/>
          <w:color w:val="auto"/>
          <w:sz w:val="28"/>
          <w:szCs w:val="28"/>
        </w:rPr>
        <w:t>学生，继续实施“本科生导师制”培养计划。</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培养目标</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“本科生导师制”培养计划旨在通过培养模式改革，</w:t>
      </w:r>
      <w:r>
        <w:rPr>
          <w:rFonts w:hint="eastAsia" w:ascii="仿宋" w:hAnsi="仿宋" w:eastAsia="仿宋" w:cs="仿宋"/>
          <w:color w:val="auto"/>
          <w:sz w:val="28"/>
          <w:szCs w:val="28"/>
          <w:lang w:val="en-US" w:eastAsia="zh-CN"/>
        </w:rPr>
        <w:t>进一步激发</w:t>
      </w:r>
      <w:r>
        <w:rPr>
          <w:rFonts w:hint="eastAsia" w:ascii="仿宋" w:hAnsi="仿宋" w:eastAsia="仿宋" w:cs="仿宋"/>
          <w:color w:val="auto"/>
          <w:sz w:val="28"/>
          <w:szCs w:val="28"/>
        </w:rPr>
        <w:t>大学生成才的内在动力，</w:t>
      </w:r>
      <w:r>
        <w:rPr>
          <w:rFonts w:hint="eastAsia" w:ascii="仿宋" w:hAnsi="仿宋" w:eastAsia="仿宋" w:cs="仿宋"/>
          <w:color w:val="auto"/>
          <w:sz w:val="28"/>
          <w:szCs w:val="28"/>
          <w:lang w:val="en-US" w:eastAsia="zh-CN"/>
        </w:rPr>
        <w:t>对具</w:t>
      </w:r>
      <w:r>
        <w:rPr>
          <w:rFonts w:hint="eastAsia" w:ascii="仿宋" w:hAnsi="仿宋" w:eastAsia="仿宋" w:cs="仿宋"/>
          <w:color w:val="auto"/>
          <w:sz w:val="28"/>
          <w:szCs w:val="28"/>
        </w:rPr>
        <w:t>有良好学习基础和浓厚科研兴趣的学生，提供导师个别指导、参与导师课题研究的机会，从而帮助学生了解相关学科前沿信息、掌握学科研究方法、提升科研创新的素质和能力。</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通过导师的指导，使进入本培养</w:t>
      </w:r>
      <w:r>
        <w:rPr>
          <w:rFonts w:hint="eastAsia" w:ascii="仿宋" w:hAnsi="仿宋" w:eastAsia="仿宋" w:cs="仿宋"/>
          <w:color w:val="auto"/>
          <w:sz w:val="28"/>
          <w:szCs w:val="28"/>
          <w:lang w:val="en-US" w:eastAsia="zh-CN"/>
        </w:rPr>
        <w:t>计划</w:t>
      </w:r>
      <w:r>
        <w:rPr>
          <w:rFonts w:hint="eastAsia" w:ascii="仿宋" w:hAnsi="仿宋" w:eastAsia="仿宋" w:cs="仿宋"/>
          <w:color w:val="auto"/>
          <w:sz w:val="28"/>
          <w:szCs w:val="28"/>
        </w:rPr>
        <w:t>的优秀学生在毕业时，除达到一般本科生的培养目标，满足以下1-4项要求外，在知识储备、实践能力、创新</w:t>
      </w:r>
      <w:r>
        <w:rPr>
          <w:rFonts w:hint="eastAsia" w:ascii="仿宋" w:hAnsi="仿宋" w:eastAsia="仿宋" w:cs="仿宋"/>
          <w:color w:val="auto"/>
          <w:sz w:val="28"/>
          <w:szCs w:val="28"/>
          <w:lang w:val="en-US" w:eastAsia="zh-CN"/>
        </w:rPr>
        <w:t>意识</w:t>
      </w:r>
      <w:r>
        <w:rPr>
          <w:rFonts w:hint="eastAsia" w:ascii="仿宋" w:hAnsi="仿宋" w:eastAsia="仿宋" w:cs="仿宋"/>
          <w:color w:val="auto"/>
          <w:sz w:val="28"/>
          <w:szCs w:val="28"/>
        </w:rPr>
        <w:t>及个性塑造等方面具备较好的发展潜质，为造就未来高素质创新型人才打下基础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即</w:t>
      </w:r>
      <w:r>
        <w:rPr>
          <w:rFonts w:hint="eastAsia" w:ascii="仿宋" w:hAnsi="仿宋" w:eastAsia="仿宋" w:cs="仿宋"/>
          <w:color w:val="auto"/>
          <w:sz w:val="28"/>
          <w:szCs w:val="28"/>
        </w:rPr>
        <w:t xml:space="preserve">还必须具备以下5-12项中的两项以上要求：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 达到我校本科生教育管理的各项目标要求，日常行为规范符合高校学生行为准则,毕业时综合测评为优。</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 必修课程平均绩点列同专业同年级的前1/3（不包括加分因素）。</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3. 能正常通过导师指定和自主选修课程的考核，无不及格。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 身心健康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体育成绩合格。</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 在校期间以第一作者身份，在省级以上学术期刊公开发表学术论文1篇以上（文学期刊除外)。</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 参加导师或由导师推荐的一项课题的研究，在有关教师指导下独立完成其中的部分工作。</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 对某一学科的知识或知识体系有较为深入的钻研，并有独到见解和体会，对教师丰富教学内容，改进教学有一定的参考价值。</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 完成对导师某方面学术思想或实践经验较为系统的总结，并经导师认可。</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9.  </w:t>
      </w:r>
      <w:r>
        <w:rPr>
          <w:rFonts w:hint="eastAsia" w:ascii="仿宋" w:hAnsi="仿宋" w:eastAsia="仿宋" w:cs="仿宋"/>
          <w:color w:val="auto"/>
          <w:sz w:val="28"/>
          <w:szCs w:val="28"/>
        </w:rPr>
        <w:t xml:space="preserve">在实践性教学过程中，所有见习、实习科目及毕业论文成绩均为优等，导师及有关专家认定其实践动手能力为优。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 为省级以上大学生科技发明或</w:t>
      </w:r>
      <w:r>
        <w:rPr>
          <w:rFonts w:hint="eastAsia" w:ascii="仿宋" w:hAnsi="仿宋" w:eastAsia="仿宋" w:cs="仿宋"/>
          <w:color w:val="auto"/>
          <w:sz w:val="28"/>
          <w:szCs w:val="28"/>
          <w:lang w:val="en-US" w:eastAsia="zh-CN"/>
        </w:rPr>
        <w:t>创新创业、学科</w:t>
      </w:r>
      <w:r>
        <w:rPr>
          <w:rFonts w:hint="eastAsia" w:ascii="仿宋" w:hAnsi="仿宋" w:eastAsia="仿宋" w:cs="仿宋"/>
          <w:color w:val="auto"/>
          <w:sz w:val="28"/>
          <w:szCs w:val="28"/>
        </w:rPr>
        <w:t>竞赛中获等级奖的主要人员。</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 由</w:t>
      </w:r>
      <w:r>
        <w:rPr>
          <w:rFonts w:hint="eastAsia" w:ascii="仿宋" w:hAnsi="仿宋" w:eastAsia="仿宋" w:cs="仿宋"/>
          <w:color w:val="auto"/>
          <w:sz w:val="28"/>
          <w:szCs w:val="28"/>
          <w:lang w:val="en-US" w:eastAsia="zh-CN"/>
        </w:rPr>
        <w:t>培养对象</w:t>
      </w:r>
      <w:r>
        <w:rPr>
          <w:rFonts w:hint="eastAsia" w:ascii="仿宋" w:hAnsi="仿宋" w:eastAsia="仿宋" w:cs="仿宋"/>
          <w:color w:val="auto"/>
          <w:sz w:val="28"/>
          <w:szCs w:val="28"/>
        </w:rPr>
        <w:t>本人提供，能反映其具备较强创新能力和动手能力的其它材料。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、培养对象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1、入选计划条件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取得</w:t>
      </w:r>
      <w:r>
        <w:rPr>
          <w:rFonts w:hint="eastAsia" w:ascii="仿宋" w:hAnsi="仿宋" w:eastAsia="仿宋" w:cs="仿宋"/>
          <w:color w:val="auto"/>
          <w:sz w:val="28"/>
          <w:szCs w:val="28"/>
        </w:rPr>
        <w:t>正式学籍的我院</w:t>
      </w:r>
      <w:r>
        <w:rPr>
          <w:rFonts w:hint="eastAsia" w:ascii="仿宋" w:hAnsi="仿宋" w:eastAsia="仿宋" w:cs="仿宋"/>
          <w:color w:val="auto"/>
          <w:sz w:val="28"/>
          <w:szCs w:val="28"/>
          <w:lang w:val="en-US" w:eastAsia="zh-CN"/>
        </w:rPr>
        <w:t>2018级临床医学、生物技术专业</w:t>
      </w:r>
      <w:r>
        <w:rPr>
          <w:rFonts w:hint="eastAsia" w:ascii="仿宋" w:hAnsi="仿宋" w:eastAsia="仿宋" w:cs="仿宋"/>
          <w:color w:val="auto"/>
          <w:sz w:val="28"/>
          <w:szCs w:val="28"/>
        </w:rPr>
        <w:t>本科学生，符合以下条件之一，可申请</w:t>
      </w:r>
      <w:r>
        <w:rPr>
          <w:rFonts w:hint="eastAsia" w:ascii="仿宋" w:hAnsi="仿宋" w:eastAsia="仿宋" w:cs="仿宋"/>
          <w:color w:val="auto"/>
          <w:sz w:val="28"/>
          <w:szCs w:val="28"/>
          <w:lang w:val="en-US" w:eastAsia="zh-CN"/>
        </w:rPr>
        <w:t>并经遴选</w:t>
      </w:r>
      <w:r>
        <w:rPr>
          <w:rFonts w:hint="eastAsia" w:ascii="仿宋" w:hAnsi="仿宋" w:eastAsia="仿宋" w:cs="仿宋"/>
          <w:color w:val="auto"/>
          <w:sz w:val="28"/>
          <w:szCs w:val="28"/>
        </w:rPr>
        <w:t>成为本</w:t>
      </w:r>
      <w:r>
        <w:rPr>
          <w:rFonts w:hint="eastAsia" w:ascii="仿宋" w:hAnsi="仿宋" w:eastAsia="仿宋" w:cs="仿宋"/>
          <w:color w:val="auto"/>
          <w:sz w:val="28"/>
          <w:szCs w:val="28"/>
          <w:lang w:val="en-US" w:eastAsia="zh-CN"/>
        </w:rPr>
        <w:t>计划</w:t>
      </w:r>
      <w:r>
        <w:rPr>
          <w:rFonts w:hint="eastAsia" w:ascii="仿宋" w:hAnsi="仿宋" w:eastAsia="仿宋" w:cs="仿宋"/>
          <w:color w:val="auto"/>
          <w:sz w:val="28"/>
          <w:szCs w:val="28"/>
        </w:rPr>
        <w:t>的培养对象。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大二上学期必修课平均绩点</w:t>
      </w:r>
      <w:r>
        <w:rPr>
          <w:rFonts w:hint="eastAsia" w:ascii="仿宋" w:hAnsi="仿宋" w:eastAsia="仿宋" w:cs="仿宋"/>
          <w:color w:val="auto"/>
          <w:sz w:val="28"/>
          <w:szCs w:val="28"/>
        </w:rPr>
        <w:t>在</w:t>
      </w:r>
      <w:r>
        <w:rPr>
          <w:rFonts w:hint="eastAsia" w:ascii="仿宋" w:hAnsi="仿宋" w:eastAsia="仿宋" w:cs="仿宋"/>
          <w:color w:val="auto"/>
          <w:sz w:val="28"/>
          <w:szCs w:val="28"/>
          <w:lang w:val="en-US" w:eastAsia="zh-CN"/>
        </w:rPr>
        <w:t>本</w:t>
      </w:r>
      <w:r>
        <w:rPr>
          <w:rFonts w:hint="eastAsia" w:ascii="仿宋" w:hAnsi="仿宋" w:eastAsia="仿宋" w:cs="仿宋"/>
          <w:color w:val="auto"/>
          <w:sz w:val="28"/>
          <w:szCs w:val="28"/>
        </w:rPr>
        <w:t>专业前30%，且CET-4成绩达到</w:t>
      </w:r>
      <w:r>
        <w:rPr>
          <w:rFonts w:hint="eastAsia" w:ascii="仿宋" w:hAnsi="仿宋" w:eastAsia="仿宋" w:cs="仿宋"/>
          <w:color w:val="auto"/>
          <w:sz w:val="28"/>
          <w:szCs w:val="28"/>
          <w:lang w:val="en-US" w:eastAsia="zh-CN"/>
        </w:rPr>
        <w:t>530</w:t>
      </w:r>
      <w:r>
        <w:rPr>
          <w:rFonts w:hint="eastAsia" w:ascii="仿宋" w:hAnsi="仿宋" w:eastAsia="仿宋" w:cs="仿宋"/>
          <w:color w:val="auto"/>
          <w:sz w:val="28"/>
          <w:szCs w:val="28"/>
        </w:rPr>
        <w:t>分以上。</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（2）具备特别的科创潜力，经两位副教授以上专家推荐者。</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2、考核</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学院每学年根据培养计划对培养对象组织考核。对不能正常完成学年培养计划的培养对象，与导师共同决定是否终止其培养对象资格。培养对象在一年内出现以下情况时，自动终止培养资格：</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因各种原因受到学校行政处分；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一门必修课考试成绩不及格或两门选修课考查不及格；</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出现严重心理障碍，经心理测试不能适应学习压力；</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年度考核综合测评列入同年级同专业后1/2；</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其它。如培养对象本人或导师提出终止培养计划等。</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、导师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任职</w:t>
      </w:r>
      <w:r>
        <w:rPr>
          <w:rFonts w:hint="eastAsia" w:ascii="仿宋" w:hAnsi="仿宋" w:eastAsia="仿宋" w:cs="仿宋"/>
          <w:color w:val="auto"/>
          <w:sz w:val="28"/>
          <w:szCs w:val="28"/>
        </w:rPr>
        <w:t>条件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（1）政治</w:t>
      </w:r>
      <w:r>
        <w:rPr>
          <w:rFonts w:hint="eastAsia" w:ascii="仿宋" w:hAnsi="仿宋" w:eastAsia="仿宋" w:cs="仿宋"/>
          <w:color w:val="auto"/>
          <w:sz w:val="28"/>
          <w:szCs w:val="28"/>
          <w:lang w:val="en-US" w:eastAsia="zh-CN"/>
        </w:rPr>
        <w:t>素质</w:t>
      </w:r>
      <w:r>
        <w:rPr>
          <w:rFonts w:hint="eastAsia" w:ascii="仿宋" w:hAnsi="仿宋" w:eastAsia="仿宋" w:cs="仿宋"/>
          <w:color w:val="auto"/>
          <w:sz w:val="28"/>
          <w:szCs w:val="28"/>
        </w:rPr>
        <w:t>过硬，业务精良，热心</w:t>
      </w:r>
      <w:r>
        <w:rPr>
          <w:rFonts w:hint="eastAsia" w:ascii="仿宋" w:hAnsi="仿宋" w:eastAsia="仿宋" w:cs="仿宋"/>
          <w:color w:val="auto"/>
          <w:sz w:val="28"/>
          <w:szCs w:val="28"/>
          <w:lang w:val="en-US" w:eastAsia="zh-CN"/>
        </w:rPr>
        <w:t>本科生</w:t>
      </w:r>
      <w:r>
        <w:rPr>
          <w:rFonts w:hint="eastAsia" w:ascii="仿宋" w:hAnsi="仿宋" w:eastAsia="仿宋" w:cs="仿宋"/>
          <w:color w:val="auto"/>
          <w:sz w:val="28"/>
          <w:szCs w:val="28"/>
        </w:rPr>
        <w:t>导师工作。</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（2）熟悉</w:t>
      </w:r>
      <w:r>
        <w:rPr>
          <w:rFonts w:hint="eastAsia" w:ascii="仿宋" w:hAnsi="仿宋" w:eastAsia="仿宋" w:cs="仿宋"/>
          <w:color w:val="auto"/>
          <w:sz w:val="28"/>
          <w:szCs w:val="28"/>
          <w:lang w:val="en-US" w:eastAsia="zh-CN"/>
        </w:rPr>
        <w:t>相关</w:t>
      </w:r>
      <w:r>
        <w:rPr>
          <w:rFonts w:hint="eastAsia" w:ascii="仿宋" w:hAnsi="仿宋" w:eastAsia="仿宋" w:cs="仿宋"/>
          <w:color w:val="auto"/>
          <w:sz w:val="28"/>
          <w:szCs w:val="28"/>
        </w:rPr>
        <w:t>专业人才培养方案。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具有副高以上职称，或具有博士学位。</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2.导师职责</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（1）指导培养对象制订</w:t>
      </w:r>
      <w:r>
        <w:rPr>
          <w:rFonts w:hint="eastAsia" w:ascii="仿宋" w:hAnsi="仿宋" w:eastAsia="仿宋" w:cs="仿宋"/>
          <w:color w:val="auto"/>
          <w:sz w:val="28"/>
          <w:szCs w:val="28"/>
          <w:lang w:val="en-US" w:eastAsia="zh-CN"/>
        </w:rPr>
        <w:t>学业发展计划</w:t>
      </w:r>
      <w:r>
        <w:rPr>
          <w:rFonts w:hint="eastAsia" w:ascii="仿宋" w:hAnsi="仿宋" w:eastAsia="仿宋" w:cs="仿宋"/>
          <w:color w:val="auto"/>
          <w:sz w:val="28"/>
          <w:szCs w:val="28"/>
        </w:rPr>
        <w:t>，构筑更为优化的知识结构。</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（2）确保每周</w:t>
      </w:r>
      <w:r>
        <w:rPr>
          <w:rFonts w:hint="eastAsia" w:ascii="仿宋" w:hAnsi="仿宋" w:eastAsia="仿宋" w:cs="仿宋"/>
          <w:color w:val="auto"/>
          <w:sz w:val="28"/>
          <w:szCs w:val="28"/>
          <w:lang w:val="en-US" w:eastAsia="zh-CN"/>
        </w:rPr>
        <w:t>指导或</w:t>
      </w:r>
      <w:r>
        <w:rPr>
          <w:rFonts w:hint="eastAsia" w:ascii="仿宋" w:hAnsi="仿宋" w:eastAsia="仿宋" w:cs="仿宋"/>
          <w:color w:val="auto"/>
          <w:sz w:val="28"/>
          <w:szCs w:val="28"/>
        </w:rPr>
        <w:t>与培养对象交流不少于</w:t>
      </w:r>
      <w:r>
        <w:rPr>
          <w:rFonts w:hint="eastAsia" w:ascii="仿宋" w:hAnsi="仿宋" w:eastAsia="仿宋" w:cs="仿宋"/>
          <w:color w:val="auto"/>
          <w:sz w:val="28"/>
          <w:szCs w:val="28"/>
          <w:lang w:val="en-US" w:eastAsia="zh-CN"/>
        </w:rPr>
        <w:t>两次</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（3）根据培养对象的学习兴趣和专业发展方向，指导</w:t>
      </w:r>
      <w:r>
        <w:rPr>
          <w:rFonts w:hint="eastAsia" w:ascii="仿宋" w:hAnsi="仿宋" w:eastAsia="仿宋" w:cs="仿宋"/>
          <w:color w:val="auto"/>
          <w:sz w:val="28"/>
          <w:szCs w:val="28"/>
          <w:lang w:val="en-US" w:eastAsia="zh-CN"/>
        </w:rPr>
        <w:t>其查阅相关学术文献及</w:t>
      </w:r>
      <w:r>
        <w:rPr>
          <w:rFonts w:hint="eastAsia" w:ascii="仿宋" w:hAnsi="仿宋" w:eastAsia="仿宋" w:cs="仿宋"/>
          <w:color w:val="auto"/>
          <w:sz w:val="28"/>
          <w:szCs w:val="28"/>
        </w:rPr>
        <w:t>课外参考书籍，了解有关学科的最新研究进展，拓宽</w:t>
      </w:r>
      <w:r>
        <w:rPr>
          <w:rFonts w:hint="eastAsia" w:ascii="仿宋" w:hAnsi="仿宋" w:eastAsia="仿宋" w:cs="仿宋"/>
          <w:color w:val="auto"/>
          <w:sz w:val="28"/>
          <w:szCs w:val="28"/>
          <w:lang w:val="en-US" w:eastAsia="zh-CN"/>
        </w:rPr>
        <w:t>其</w:t>
      </w:r>
      <w:r>
        <w:rPr>
          <w:rFonts w:hint="eastAsia" w:ascii="仿宋" w:hAnsi="仿宋" w:eastAsia="仿宋" w:cs="仿宋"/>
          <w:color w:val="auto"/>
          <w:sz w:val="28"/>
          <w:szCs w:val="28"/>
        </w:rPr>
        <w:t>知识面。</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（4）重视培养对象的创新意识和</w:t>
      </w:r>
      <w:r>
        <w:rPr>
          <w:rFonts w:hint="eastAsia" w:ascii="仿宋" w:hAnsi="仿宋" w:eastAsia="仿宋" w:cs="仿宋"/>
          <w:color w:val="auto"/>
          <w:sz w:val="28"/>
          <w:szCs w:val="28"/>
          <w:lang w:val="en-US" w:eastAsia="zh-CN"/>
        </w:rPr>
        <w:t>实践</w:t>
      </w:r>
      <w:r>
        <w:rPr>
          <w:rFonts w:hint="eastAsia" w:ascii="仿宋" w:hAnsi="仿宋" w:eastAsia="仿宋" w:cs="仿宋"/>
          <w:color w:val="auto"/>
          <w:sz w:val="28"/>
          <w:szCs w:val="28"/>
        </w:rPr>
        <w:t>能力培养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安排</w:t>
      </w:r>
      <w:r>
        <w:rPr>
          <w:rFonts w:hint="eastAsia" w:ascii="仿宋" w:hAnsi="仿宋" w:eastAsia="仿宋" w:cs="仿宋"/>
          <w:color w:val="auto"/>
          <w:sz w:val="28"/>
          <w:szCs w:val="28"/>
          <w:lang w:val="en-US" w:eastAsia="zh-CN"/>
        </w:rPr>
        <w:t>并指导</w:t>
      </w:r>
      <w:r>
        <w:rPr>
          <w:rFonts w:hint="eastAsia" w:ascii="仿宋" w:hAnsi="仿宋" w:eastAsia="仿宋" w:cs="仿宋"/>
          <w:color w:val="auto"/>
          <w:sz w:val="28"/>
          <w:szCs w:val="28"/>
        </w:rPr>
        <w:t>学生参加科研课题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鼓励</w:t>
      </w:r>
      <w:r>
        <w:rPr>
          <w:rFonts w:hint="eastAsia" w:ascii="仿宋" w:hAnsi="仿宋" w:eastAsia="仿宋" w:cs="仿宋"/>
          <w:color w:val="auto"/>
          <w:sz w:val="28"/>
          <w:szCs w:val="28"/>
          <w:lang w:val="en-US" w:eastAsia="zh-CN"/>
        </w:rPr>
        <w:t>并支持培养对象</w:t>
      </w:r>
      <w:r>
        <w:rPr>
          <w:rFonts w:hint="eastAsia" w:ascii="仿宋" w:hAnsi="仿宋" w:eastAsia="仿宋" w:cs="仿宋"/>
          <w:color w:val="auto"/>
          <w:sz w:val="28"/>
          <w:szCs w:val="28"/>
        </w:rPr>
        <w:t>参加校内外大学生课外学术科技作品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创新</w:t>
      </w:r>
      <w:r>
        <w:rPr>
          <w:rFonts w:hint="eastAsia" w:ascii="仿宋" w:hAnsi="仿宋" w:eastAsia="仿宋" w:cs="仿宋"/>
          <w:color w:val="auto"/>
          <w:sz w:val="28"/>
          <w:szCs w:val="28"/>
        </w:rPr>
        <w:t>创业计划</w:t>
      </w:r>
      <w:r>
        <w:rPr>
          <w:rFonts w:hint="eastAsia" w:ascii="仿宋" w:hAnsi="仿宋" w:eastAsia="仿宋" w:cs="仿宋"/>
          <w:color w:val="auto"/>
          <w:sz w:val="28"/>
          <w:szCs w:val="28"/>
          <w:lang w:val="en-US" w:eastAsia="zh-CN"/>
        </w:rPr>
        <w:t>和学科</w:t>
      </w:r>
      <w:r>
        <w:rPr>
          <w:rFonts w:hint="eastAsia" w:ascii="仿宋" w:hAnsi="仿宋" w:eastAsia="仿宋" w:cs="仿宋"/>
          <w:color w:val="auto"/>
          <w:sz w:val="28"/>
          <w:szCs w:val="28"/>
        </w:rPr>
        <w:t>竞赛</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支持并指导其</w:t>
      </w:r>
      <w:r>
        <w:rPr>
          <w:rFonts w:hint="eastAsia" w:ascii="仿宋" w:hAnsi="仿宋" w:eastAsia="仿宋" w:cs="仿宋"/>
          <w:color w:val="auto"/>
          <w:sz w:val="28"/>
          <w:szCs w:val="28"/>
        </w:rPr>
        <w:t>在省级或以上</w:t>
      </w:r>
      <w:r>
        <w:rPr>
          <w:rFonts w:hint="eastAsia" w:ascii="仿宋" w:hAnsi="仿宋" w:eastAsia="仿宋" w:cs="仿宋"/>
          <w:color w:val="auto"/>
          <w:sz w:val="28"/>
          <w:szCs w:val="28"/>
          <w:lang w:val="en-US" w:eastAsia="zh-CN"/>
        </w:rPr>
        <w:t>学术期刊</w:t>
      </w:r>
      <w:r>
        <w:rPr>
          <w:rFonts w:hint="eastAsia" w:ascii="仿宋" w:hAnsi="仿宋" w:eastAsia="仿宋" w:cs="仿宋"/>
          <w:color w:val="auto"/>
          <w:sz w:val="28"/>
          <w:szCs w:val="28"/>
        </w:rPr>
        <w:t>发表有价值的学术论文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申请发明专利等</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（5）对培养对象进行学期和年度考核，对</w:t>
      </w:r>
      <w:r>
        <w:rPr>
          <w:rFonts w:hint="eastAsia" w:ascii="仿宋" w:hAnsi="仿宋" w:eastAsia="仿宋" w:cs="仿宋"/>
          <w:color w:val="auto"/>
          <w:sz w:val="28"/>
          <w:szCs w:val="28"/>
          <w:lang w:val="en-US" w:eastAsia="zh-CN"/>
        </w:rPr>
        <w:t>失去培养资格或</w:t>
      </w:r>
      <w:r>
        <w:rPr>
          <w:rFonts w:hint="eastAsia" w:ascii="仿宋" w:hAnsi="仿宋" w:eastAsia="仿宋" w:cs="仿宋"/>
          <w:color w:val="auto"/>
          <w:sz w:val="28"/>
          <w:szCs w:val="28"/>
        </w:rPr>
        <w:t>不能完成培养</w:t>
      </w:r>
      <w:r>
        <w:rPr>
          <w:rFonts w:hint="eastAsia" w:ascii="仿宋" w:hAnsi="仿宋" w:eastAsia="仿宋" w:cs="仿宋"/>
          <w:color w:val="auto"/>
          <w:sz w:val="28"/>
          <w:szCs w:val="28"/>
          <w:lang w:val="en-US" w:eastAsia="zh-CN"/>
        </w:rPr>
        <w:t>计划</w:t>
      </w:r>
      <w:r>
        <w:rPr>
          <w:rFonts w:hint="eastAsia" w:ascii="仿宋" w:hAnsi="仿宋" w:eastAsia="仿宋" w:cs="仿宋"/>
          <w:color w:val="auto"/>
          <w:sz w:val="28"/>
          <w:szCs w:val="28"/>
        </w:rPr>
        <w:t>的学生决定淘汰并增补新培养对象。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3.导师待遇</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在年终绩效考核中，将根据导师的履职情况，给予一定的非课堂教学工作量的认定（详见《</w:t>
      </w:r>
      <w:r>
        <w:rPr>
          <w:rFonts w:hint="eastAsia" w:ascii="仿宋" w:hAnsi="仿宋" w:eastAsia="仿宋" w:cs="仿宋"/>
          <w:color w:val="auto"/>
          <w:sz w:val="28"/>
          <w:szCs w:val="28"/>
        </w:rPr>
        <w:t>医学</w:t>
      </w:r>
      <w:r>
        <w:rPr>
          <w:rFonts w:hint="eastAsia" w:ascii="仿宋" w:hAnsi="仿宋" w:eastAsia="仿宋" w:cs="仿宋"/>
          <w:color w:val="auto"/>
          <w:sz w:val="28"/>
          <w:szCs w:val="28"/>
          <w:lang w:val="en-US" w:eastAsia="zh-CN"/>
        </w:rPr>
        <w:t>院</w:t>
      </w:r>
      <w:r>
        <w:rPr>
          <w:rFonts w:hint="eastAsia" w:ascii="宋体" w:hAnsi="宋体" w:eastAsia="宋体" w:cs="宋体"/>
          <w:color w:val="auto"/>
          <w:sz w:val="28"/>
          <w:szCs w:val="28"/>
          <w:lang w:val="en-US" w:eastAsia="zh-CN"/>
        </w:rPr>
        <w:t>·</w:t>
      </w:r>
      <w:r>
        <w:rPr>
          <w:rFonts w:hint="eastAsia" w:ascii="仿宋" w:hAnsi="仿宋" w:eastAsia="仿宋" w:cs="仿宋"/>
          <w:color w:val="auto"/>
          <w:sz w:val="28"/>
          <w:szCs w:val="28"/>
          <w:lang w:val="en-US" w:eastAsia="zh-CN"/>
        </w:rPr>
        <w:t>整合医学</w:t>
      </w:r>
      <w:r>
        <w:rPr>
          <w:rFonts w:hint="eastAsia" w:ascii="仿宋" w:hAnsi="仿宋" w:eastAsia="仿宋" w:cs="仿宋"/>
          <w:color w:val="auto"/>
          <w:sz w:val="28"/>
          <w:szCs w:val="28"/>
        </w:rPr>
        <w:t>学院奖励性绩效考核实施办法（试行）</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）根据导师的敬业精神和培养对象的</w:t>
      </w:r>
      <w:r>
        <w:rPr>
          <w:rFonts w:hint="eastAsia" w:ascii="仿宋" w:hAnsi="仿宋" w:eastAsia="仿宋" w:cs="仿宋"/>
          <w:color w:val="auto"/>
          <w:sz w:val="28"/>
          <w:szCs w:val="28"/>
          <w:lang w:val="en-US" w:eastAsia="zh-CN"/>
        </w:rPr>
        <w:t>培养</w:t>
      </w:r>
      <w:r>
        <w:rPr>
          <w:rFonts w:hint="eastAsia" w:ascii="仿宋" w:hAnsi="仿宋" w:eastAsia="仿宋" w:cs="仿宋"/>
          <w:color w:val="auto"/>
          <w:sz w:val="28"/>
          <w:szCs w:val="28"/>
        </w:rPr>
        <w:t>成效，</w:t>
      </w:r>
      <w:r>
        <w:rPr>
          <w:rFonts w:hint="eastAsia" w:ascii="仿宋" w:hAnsi="仿宋" w:eastAsia="仿宋" w:cs="仿宋"/>
          <w:color w:val="auto"/>
          <w:sz w:val="28"/>
          <w:szCs w:val="28"/>
          <w:lang w:val="en-US" w:eastAsia="zh-CN"/>
        </w:rPr>
        <w:t>学院</w:t>
      </w:r>
      <w:r>
        <w:rPr>
          <w:rFonts w:hint="eastAsia" w:ascii="仿宋" w:hAnsi="仿宋" w:eastAsia="仿宋" w:cs="仿宋"/>
          <w:color w:val="auto"/>
          <w:sz w:val="28"/>
          <w:szCs w:val="28"/>
        </w:rPr>
        <w:t>每学年评选一次优秀本科生导师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对获奖导师给予表彰，并推荐参加学校优秀本科生导师的评选</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在各类评奖评优、人才项目申报或专业技术职称晋升学院推荐时，在同等条件下给予优先考虑。</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）培养对象失去培养资格，又未补充新培养对象时，其导师待遇自动中止。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组织实施</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1.学院成立本科生导师制</w:t>
      </w:r>
      <w:r>
        <w:rPr>
          <w:rFonts w:hint="eastAsia" w:ascii="仿宋" w:hAnsi="仿宋" w:eastAsia="仿宋" w:cs="仿宋"/>
          <w:color w:val="auto"/>
          <w:sz w:val="28"/>
          <w:szCs w:val="28"/>
          <w:lang w:val="en-US" w:eastAsia="zh-CN"/>
        </w:rPr>
        <w:t>培养</w:t>
      </w:r>
      <w:r>
        <w:rPr>
          <w:rFonts w:hint="eastAsia" w:ascii="仿宋" w:hAnsi="仿宋" w:eastAsia="仿宋" w:cs="仿宋"/>
          <w:color w:val="auto"/>
          <w:sz w:val="28"/>
          <w:szCs w:val="28"/>
        </w:rPr>
        <w:t>工作领导小组，由</w:t>
      </w:r>
      <w:r>
        <w:rPr>
          <w:rFonts w:hint="eastAsia" w:ascii="仿宋" w:hAnsi="仿宋" w:eastAsia="仿宋" w:cs="仿宋"/>
          <w:color w:val="auto"/>
          <w:sz w:val="28"/>
          <w:szCs w:val="28"/>
          <w:lang w:val="en-US" w:eastAsia="zh-CN"/>
        </w:rPr>
        <w:t>院长担任组长，</w:t>
      </w:r>
      <w:r>
        <w:rPr>
          <w:rFonts w:hint="eastAsia" w:ascii="仿宋" w:hAnsi="仿宋" w:eastAsia="仿宋" w:cs="仿宋"/>
          <w:color w:val="auto"/>
          <w:sz w:val="28"/>
          <w:szCs w:val="28"/>
        </w:rPr>
        <w:t>分管学生和教学工作的</w:t>
      </w:r>
      <w:r>
        <w:rPr>
          <w:rFonts w:hint="eastAsia" w:ascii="仿宋" w:hAnsi="仿宋" w:eastAsia="仿宋" w:cs="仿宋"/>
          <w:color w:val="auto"/>
          <w:sz w:val="28"/>
          <w:szCs w:val="28"/>
          <w:lang w:val="en-US" w:eastAsia="zh-CN"/>
        </w:rPr>
        <w:t>院</w:t>
      </w:r>
      <w:r>
        <w:rPr>
          <w:rFonts w:hint="eastAsia" w:ascii="仿宋" w:hAnsi="仿宋" w:eastAsia="仿宋" w:cs="仿宋"/>
          <w:color w:val="auto"/>
          <w:sz w:val="28"/>
          <w:szCs w:val="28"/>
        </w:rPr>
        <w:t>领导担任</w:t>
      </w:r>
      <w:r>
        <w:rPr>
          <w:rFonts w:hint="eastAsia" w:ascii="仿宋" w:hAnsi="仿宋" w:eastAsia="仿宋" w:cs="仿宋"/>
          <w:color w:val="auto"/>
          <w:sz w:val="28"/>
          <w:szCs w:val="28"/>
          <w:lang w:val="en-US" w:eastAsia="zh-CN"/>
        </w:rPr>
        <w:t>副</w:t>
      </w:r>
      <w:r>
        <w:rPr>
          <w:rFonts w:hint="eastAsia" w:ascii="仿宋" w:hAnsi="仿宋" w:eastAsia="仿宋" w:cs="仿宋"/>
          <w:color w:val="auto"/>
          <w:sz w:val="28"/>
          <w:szCs w:val="28"/>
        </w:rPr>
        <w:t>组长，</w:t>
      </w:r>
      <w:r>
        <w:rPr>
          <w:rFonts w:hint="eastAsia" w:ascii="仿宋" w:hAnsi="仿宋" w:eastAsia="仿宋" w:cs="仿宋"/>
          <w:color w:val="auto"/>
          <w:sz w:val="28"/>
          <w:szCs w:val="28"/>
          <w:lang w:val="en-US" w:eastAsia="zh-CN"/>
        </w:rPr>
        <w:t>成员由学生工作办公室主任、分团委书记和教学秘书组成。</w:t>
      </w:r>
      <w:r>
        <w:rPr>
          <w:rFonts w:hint="eastAsia" w:ascii="仿宋" w:hAnsi="仿宋" w:eastAsia="仿宋" w:cs="仿宋"/>
          <w:color w:val="auto"/>
          <w:sz w:val="28"/>
          <w:szCs w:val="28"/>
        </w:rPr>
        <w:t>领导小组</w:t>
      </w:r>
      <w:r>
        <w:rPr>
          <w:rFonts w:hint="eastAsia" w:ascii="仿宋" w:hAnsi="仿宋" w:eastAsia="仿宋" w:cs="仿宋"/>
          <w:color w:val="auto"/>
          <w:sz w:val="28"/>
          <w:szCs w:val="28"/>
          <w:lang w:val="en-US" w:eastAsia="zh-CN"/>
        </w:rPr>
        <w:t>办公室设在学院学生工作办公室，</w:t>
      </w:r>
      <w:r>
        <w:rPr>
          <w:rFonts w:hint="eastAsia" w:ascii="仿宋" w:hAnsi="仿宋" w:eastAsia="仿宋" w:cs="仿宋"/>
          <w:color w:val="auto"/>
          <w:sz w:val="28"/>
          <w:szCs w:val="28"/>
        </w:rPr>
        <w:t>负责本方案的具体落实。其工作如下：</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发布工作通知。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（2）接受培养对象申请和导师登记，确认或调整导师和培养对象。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）审核培养计划。</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）负责</w:t>
      </w:r>
      <w:r>
        <w:rPr>
          <w:rFonts w:hint="eastAsia" w:ascii="仿宋" w:hAnsi="仿宋" w:eastAsia="仿宋" w:cs="仿宋"/>
          <w:color w:val="auto"/>
          <w:sz w:val="28"/>
          <w:szCs w:val="28"/>
          <w:lang w:val="en-US" w:eastAsia="zh-CN"/>
        </w:rPr>
        <w:t>组织</w:t>
      </w:r>
      <w:r>
        <w:rPr>
          <w:rFonts w:hint="eastAsia" w:ascii="仿宋" w:hAnsi="仿宋" w:eastAsia="仿宋" w:cs="仿宋"/>
          <w:color w:val="auto"/>
          <w:sz w:val="28"/>
          <w:szCs w:val="28"/>
        </w:rPr>
        <w:t>对培养对象的年度考核。</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组织</w:t>
      </w:r>
      <w:r>
        <w:rPr>
          <w:rFonts w:hint="eastAsia" w:ascii="仿宋" w:hAnsi="仿宋" w:eastAsia="仿宋" w:cs="仿宋"/>
          <w:color w:val="auto"/>
          <w:sz w:val="28"/>
          <w:szCs w:val="28"/>
        </w:rPr>
        <w:t>导师和培养对象</w:t>
      </w:r>
      <w:r>
        <w:rPr>
          <w:rFonts w:hint="eastAsia" w:ascii="仿宋" w:hAnsi="仿宋" w:eastAsia="仿宋" w:cs="仿宋"/>
          <w:color w:val="auto"/>
          <w:sz w:val="28"/>
          <w:szCs w:val="28"/>
          <w:lang w:val="en-US" w:eastAsia="zh-CN"/>
        </w:rPr>
        <w:t>的评优</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2.工作程序</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发布年度本科生导师制培养导师报名、学生遴选工作通知。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（2）具备导师资格的教师，本着自愿的原则，向领导小组</w:t>
      </w:r>
      <w:r>
        <w:rPr>
          <w:rFonts w:hint="eastAsia" w:ascii="仿宋" w:hAnsi="仿宋" w:eastAsia="仿宋" w:cs="仿宋"/>
          <w:color w:val="auto"/>
          <w:sz w:val="28"/>
          <w:szCs w:val="28"/>
          <w:lang w:val="en-US" w:eastAsia="zh-CN"/>
        </w:rPr>
        <w:t>办公室</w:t>
      </w:r>
      <w:r>
        <w:rPr>
          <w:rFonts w:hint="eastAsia" w:ascii="仿宋" w:hAnsi="仿宋" w:eastAsia="仿宋" w:cs="仿宋"/>
          <w:color w:val="auto"/>
          <w:sz w:val="28"/>
          <w:szCs w:val="28"/>
        </w:rPr>
        <w:t>提出申请，填写并提交《</w:t>
      </w:r>
      <w:r>
        <w:rPr>
          <w:rFonts w:hint="eastAsia" w:ascii="仿宋" w:hAnsi="仿宋" w:eastAsia="仿宋" w:cs="仿宋"/>
          <w:color w:val="auto"/>
          <w:sz w:val="28"/>
          <w:szCs w:val="28"/>
          <w:lang w:val="en-US" w:eastAsia="zh-CN"/>
        </w:rPr>
        <w:t>医学院·整合医学学院本科生</w:t>
      </w:r>
      <w:r>
        <w:rPr>
          <w:rFonts w:hint="eastAsia" w:ascii="仿宋" w:hAnsi="仿宋" w:eastAsia="仿宋" w:cs="仿宋"/>
          <w:color w:val="auto"/>
          <w:sz w:val="28"/>
          <w:szCs w:val="28"/>
        </w:rPr>
        <w:t>导师情况登记表》及个人简介。</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）向学生发布</w:t>
      </w:r>
      <w:r>
        <w:rPr>
          <w:rFonts w:hint="eastAsia" w:ascii="仿宋" w:hAnsi="仿宋" w:eastAsia="仿宋" w:cs="仿宋"/>
          <w:color w:val="auto"/>
          <w:sz w:val="28"/>
          <w:szCs w:val="28"/>
          <w:lang w:val="en-US" w:eastAsia="zh-CN"/>
        </w:rPr>
        <w:t>年度</w:t>
      </w:r>
      <w:r>
        <w:rPr>
          <w:rFonts w:hint="eastAsia" w:ascii="仿宋" w:hAnsi="仿宋" w:eastAsia="仿宋" w:cs="仿宋"/>
          <w:color w:val="auto"/>
          <w:sz w:val="28"/>
          <w:szCs w:val="28"/>
        </w:rPr>
        <w:t>本科生导师制培养</w:t>
      </w:r>
      <w:r>
        <w:rPr>
          <w:rFonts w:hint="eastAsia" w:ascii="仿宋" w:hAnsi="仿宋" w:eastAsia="仿宋" w:cs="仿宋"/>
          <w:color w:val="auto"/>
          <w:sz w:val="28"/>
          <w:szCs w:val="28"/>
          <w:lang w:val="en-US" w:eastAsia="zh-CN"/>
        </w:rPr>
        <w:t>对象控制指标数量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候选</w:t>
      </w:r>
      <w:r>
        <w:rPr>
          <w:rFonts w:hint="eastAsia" w:ascii="仿宋" w:hAnsi="仿宋" w:eastAsia="仿宋" w:cs="仿宋"/>
          <w:color w:val="auto"/>
          <w:sz w:val="28"/>
          <w:szCs w:val="28"/>
        </w:rPr>
        <w:t>导师名单及个人简介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w:t>
      </w:r>
      <w:r>
        <w:rPr>
          <w:rFonts w:hint="eastAsia" w:ascii="仿宋" w:hAnsi="仿宋" w:eastAsia="仿宋" w:cs="仿宋"/>
          <w:color w:val="auto"/>
          <w:sz w:val="28"/>
          <w:szCs w:val="28"/>
          <w:lang w:val="en-US" w:eastAsia="zh-CN"/>
        </w:rPr>
        <w:t>入选</w:t>
      </w:r>
      <w:r>
        <w:rPr>
          <w:rFonts w:hint="eastAsia" w:ascii="仿宋" w:hAnsi="仿宋" w:eastAsia="仿宋" w:cs="仿宋"/>
          <w:color w:val="auto"/>
          <w:sz w:val="28"/>
          <w:szCs w:val="28"/>
        </w:rPr>
        <w:t>条件的学生根据个人的志趣、爱好，在公布的候选导师</w:t>
      </w:r>
      <w:r>
        <w:rPr>
          <w:rFonts w:hint="eastAsia" w:ascii="仿宋" w:hAnsi="仿宋" w:eastAsia="仿宋" w:cs="仿宋"/>
          <w:color w:val="auto"/>
          <w:sz w:val="28"/>
          <w:szCs w:val="28"/>
          <w:lang w:val="en-US" w:eastAsia="zh-CN"/>
        </w:rPr>
        <w:t>名单</w:t>
      </w:r>
      <w:r>
        <w:rPr>
          <w:rFonts w:hint="eastAsia" w:ascii="仿宋" w:hAnsi="仿宋" w:eastAsia="仿宋" w:cs="仿宋"/>
          <w:color w:val="auto"/>
          <w:sz w:val="28"/>
          <w:szCs w:val="28"/>
        </w:rPr>
        <w:t>中自主选择，并</w:t>
      </w:r>
      <w:r>
        <w:rPr>
          <w:rFonts w:hint="eastAsia" w:ascii="仿宋" w:hAnsi="仿宋" w:eastAsia="仿宋" w:cs="仿宋"/>
          <w:color w:val="auto"/>
          <w:sz w:val="28"/>
          <w:szCs w:val="28"/>
          <w:lang w:val="en-US" w:eastAsia="zh-CN"/>
        </w:rPr>
        <w:t>向</w:t>
      </w:r>
      <w:r>
        <w:rPr>
          <w:rFonts w:hint="eastAsia" w:ascii="仿宋" w:hAnsi="仿宋" w:eastAsia="仿宋" w:cs="仿宋"/>
          <w:color w:val="auto"/>
          <w:sz w:val="28"/>
          <w:szCs w:val="28"/>
        </w:rPr>
        <w:t>领导小组</w:t>
      </w:r>
      <w:r>
        <w:rPr>
          <w:rFonts w:hint="eastAsia" w:ascii="仿宋" w:hAnsi="仿宋" w:eastAsia="仿宋" w:cs="仿宋"/>
          <w:color w:val="auto"/>
          <w:sz w:val="28"/>
          <w:szCs w:val="28"/>
          <w:lang w:val="en-US" w:eastAsia="zh-CN"/>
        </w:rPr>
        <w:t>办公室</w:t>
      </w:r>
      <w:r>
        <w:rPr>
          <w:rFonts w:hint="eastAsia" w:ascii="仿宋" w:hAnsi="仿宋" w:eastAsia="仿宋" w:cs="仿宋"/>
          <w:color w:val="auto"/>
          <w:sz w:val="28"/>
          <w:szCs w:val="28"/>
        </w:rPr>
        <w:t>提交书面申请及在校期间自我发展目标计划。</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）领导小组</w:t>
      </w:r>
      <w:r>
        <w:rPr>
          <w:rFonts w:hint="eastAsia" w:ascii="仿宋" w:hAnsi="仿宋" w:eastAsia="仿宋" w:cs="仿宋"/>
          <w:color w:val="auto"/>
          <w:sz w:val="28"/>
          <w:szCs w:val="28"/>
          <w:lang w:val="en-US" w:eastAsia="zh-CN"/>
        </w:rPr>
        <w:t>办公室组织对申请材料进行复核，并</w:t>
      </w:r>
      <w:r>
        <w:rPr>
          <w:rFonts w:hint="eastAsia" w:ascii="仿宋" w:hAnsi="仿宋" w:eastAsia="仿宋" w:cs="仿宋"/>
          <w:color w:val="auto"/>
          <w:sz w:val="28"/>
          <w:szCs w:val="28"/>
        </w:rPr>
        <w:t>根据学生的选择意愿，向导师推荐候选学生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每位导师原则上接收培养对象不超过两名</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）导师</w:t>
      </w:r>
      <w:r>
        <w:rPr>
          <w:rFonts w:hint="eastAsia" w:ascii="仿宋" w:hAnsi="仿宋" w:eastAsia="仿宋" w:cs="仿宋"/>
          <w:color w:val="auto"/>
          <w:sz w:val="28"/>
          <w:szCs w:val="28"/>
          <w:lang w:val="en-US" w:eastAsia="zh-CN"/>
        </w:rPr>
        <w:t>与</w:t>
      </w:r>
      <w:r>
        <w:rPr>
          <w:rFonts w:hint="eastAsia" w:ascii="仿宋" w:hAnsi="仿宋" w:eastAsia="仿宋" w:cs="仿宋"/>
          <w:color w:val="auto"/>
          <w:sz w:val="28"/>
          <w:szCs w:val="28"/>
        </w:rPr>
        <w:t>培养对象确立</w:t>
      </w:r>
      <w:r>
        <w:rPr>
          <w:rFonts w:hint="eastAsia" w:ascii="仿宋" w:hAnsi="仿宋" w:eastAsia="仿宋" w:cs="仿宋"/>
          <w:color w:val="auto"/>
          <w:sz w:val="28"/>
          <w:szCs w:val="28"/>
          <w:lang w:val="en-US" w:eastAsia="zh-CN"/>
        </w:rPr>
        <w:t>培养</w:t>
      </w:r>
      <w:r>
        <w:rPr>
          <w:rFonts w:hint="eastAsia" w:ascii="仿宋" w:hAnsi="仿宋" w:eastAsia="仿宋" w:cs="仿宋"/>
          <w:color w:val="auto"/>
          <w:sz w:val="28"/>
          <w:szCs w:val="28"/>
        </w:rPr>
        <w:t>关系后，由领导小组</w:t>
      </w:r>
      <w:r>
        <w:rPr>
          <w:rFonts w:hint="eastAsia" w:ascii="仿宋" w:hAnsi="仿宋" w:eastAsia="仿宋" w:cs="仿宋"/>
          <w:color w:val="auto"/>
          <w:sz w:val="28"/>
          <w:szCs w:val="28"/>
          <w:lang w:val="en-US" w:eastAsia="zh-CN"/>
        </w:rPr>
        <w:t>办公室负责</w:t>
      </w:r>
      <w:r>
        <w:rPr>
          <w:rFonts w:hint="eastAsia" w:ascii="仿宋" w:hAnsi="仿宋" w:eastAsia="仿宋" w:cs="仿宋"/>
          <w:color w:val="auto"/>
          <w:sz w:val="28"/>
          <w:szCs w:val="28"/>
        </w:rPr>
        <w:t>汇总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经公示无异议后正式公布，</w:t>
      </w:r>
      <w:r>
        <w:rPr>
          <w:rFonts w:hint="eastAsia" w:ascii="仿宋" w:hAnsi="仿宋" w:eastAsia="仿宋" w:cs="仿宋"/>
          <w:color w:val="auto"/>
          <w:sz w:val="28"/>
          <w:szCs w:val="28"/>
        </w:rPr>
        <w:t>分别报学生</w:t>
      </w:r>
      <w:r>
        <w:rPr>
          <w:rFonts w:hint="eastAsia" w:ascii="仿宋" w:hAnsi="仿宋" w:eastAsia="仿宋" w:cs="仿宋"/>
          <w:color w:val="auto"/>
          <w:sz w:val="28"/>
          <w:szCs w:val="28"/>
          <w:lang w:val="en-US" w:eastAsia="zh-CN"/>
        </w:rPr>
        <w:t>工作</w:t>
      </w:r>
      <w:r>
        <w:rPr>
          <w:rFonts w:hint="eastAsia" w:ascii="仿宋" w:hAnsi="仿宋" w:eastAsia="仿宋" w:cs="仿宋"/>
          <w:color w:val="auto"/>
          <w:sz w:val="28"/>
          <w:szCs w:val="28"/>
        </w:rPr>
        <w:t>处、教务处备案。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入选</w:t>
      </w:r>
      <w:r>
        <w:rPr>
          <w:rFonts w:hint="eastAsia" w:ascii="仿宋" w:hAnsi="仿宋" w:eastAsia="仿宋" w:cs="仿宋"/>
          <w:color w:val="auto"/>
          <w:sz w:val="28"/>
          <w:szCs w:val="28"/>
        </w:rPr>
        <w:t>培养对象</w:t>
      </w:r>
      <w:r>
        <w:rPr>
          <w:rFonts w:hint="eastAsia" w:ascii="仿宋" w:hAnsi="仿宋" w:eastAsia="仿宋" w:cs="仿宋"/>
          <w:color w:val="auto"/>
          <w:sz w:val="28"/>
          <w:szCs w:val="28"/>
          <w:lang w:val="en-US" w:eastAsia="zh-CN"/>
        </w:rPr>
        <w:t>须于两</w:t>
      </w:r>
      <w:r>
        <w:rPr>
          <w:rFonts w:hint="eastAsia" w:ascii="仿宋" w:hAnsi="仿宋" w:eastAsia="仿宋" w:cs="仿宋"/>
          <w:color w:val="auto"/>
          <w:sz w:val="28"/>
          <w:szCs w:val="28"/>
        </w:rPr>
        <w:t>周内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在导师指导下制订出在校期间的培养计划，师生双方共同签字，报领导小组</w:t>
      </w:r>
      <w:r>
        <w:rPr>
          <w:rFonts w:hint="eastAsia" w:ascii="仿宋" w:hAnsi="仿宋" w:eastAsia="仿宋" w:cs="仿宋"/>
          <w:color w:val="auto"/>
          <w:sz w:val="28"/>
          <w:szCs w:val="28"/>
          <w:lang w:val="en-US" w:eastAsia="zh-CN"/>
        </w:rPr>
        <w:t>办公室备案</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导师与培养对象需</w:t>
      </w:r>
      <w:r>
        <w:rPr>
          <w:rFonts w:hint="eastAsia" w:ascii="仿宋" w:hAnsi="仿宋" w:eastAsia="仿宋" w:cs="仿宋"/>
          <w:color w:val="auto"/>
          <w:sz w:val="28"/>
          <w:szCs w:val="28"/>
        </w:rPr>
        <w:t>按</w:t>
      </w:r>
      <w:r>
        <w:rPr>
          <w:rFonts w:hint="eastAsia" w:ascii="仿宋" w:hAnsi="仿宋" w:eastAsia="仿宋" w:cs="仿宋"/>
          <w:color w:val="auto"/>
          <w:sz w:val="28"/>
          <w:szCs w:val="28"/>
          <w:lang w:val="en-US" w:eastAsia="zh-CN"/>
        </w:rPr>
        <w:t>要求填写培养对象</w:t>
      </w:r>
      <w:r>
        <w:rPr>
          <w:rFonts w:hint="eastAsia" w:ascii="仿宋" w:hAnsi="仿宋" w:eastAsia="仿宋" w:cs="仿宋"/>
          <w:color w:val="auto"/>
          <w:sz w:val="28"/>
          <w:szCs w:val="28"/>
        </w:rPr>
        <w:t>考核表，</w:t>
      </w:r>
      <w:r>
        <w:rPr>
          <w:rFonts w:hint="eastAsia" w:ascii="仿宋" w:hAnsi="仿宋" w:eastAsia="仿宋" w:cs="仿宋"/>
          <w:color w:val="auto"/>
          <w:sz w:val="28"/>
          <w:szCs w:val="28"/>
          <w:lang w:val="en-US" w:eastAsia="zh-CN"/>
        </w:rPr>
        <w:t>参加年度考核</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五、附则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60" w:leftChars="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1、本科生导师制培养考核与报名一般安排在秋季学期开学后一个月内开展。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60" w:left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2、本办法由学院</w:t>
      </w:r>
      <w:r>
        <w:rPr>
          <w:rFonts w:hint="eastAsia" w:ascii="仿宋" w:hAnsi="仿宋" w:eastAsia="仿宋" w:cs="仿宋"/>
          <w:color w:val="auto"/>
          <w:sz w:val="28"/>
          <w:szCs w:val="28"/>
        </w:rPr>
        <w:t>本科生导师制</w:t>
      </w:r>
      <w:r>
        <w:rPr>
          <w:rFonts w:hint="eastAsia" w:ascii="仿宋" w:hAnsi="仿宋" w:eastAsia="仿宋" w:cs="仿宋"/>
          <w:color w:val="auto"/>
          <w:sz w:val="28"/>
          <w:szCs w:val="28"/>
          <w:lang w:val="en-US" w:eastAsia="zh-CN"/>
        </w:rPr>
        <w:t>培养</w:t>
      </w:r>
      <w:r>
        <w:rPr>
          <w:rFonts w:hint="eastAsia" w:ascii="仿宋" w:hAnsi="仿宋" w:eastAsia="仿宋" w:cs="仿宋"/>
          <w:color w:val="auto"/>
          <w:sz w:val="28"/>
          <w:szCs w:val="28"/>
        </w:rPr>
        <w:t>工作领导小组</w:t>
      </w:r>
      <w:r>
        <w:rPr>
          <w:rFonts w:hint="eastAsia" w:ascii="仿宋" w:hAnsi="仿宋" w:eastAsia="仿宋" w:cs="仿宋"/>
          <w:color w:val="auto"/>
          <w:sz w:val="28"/>
          <w:szCs w:val="28"/>
          <w:lang w:val="en-US" w:eastAsia="zh-CN"/>
        </w:rPr>
        <w:t>负责解释。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60" w:leftChars="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3、本办法仅针对2018级临床医学、生物技术学生实施。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60" w:leftChars="0"/>
        <w:textAlignment w:val="auto"/>
        <w:rPr>
          <w:rFonts w:hint="eastAsia" w:ascii="仿宋" w:hAnsi="仿宋" w:eastAsia="仿宋" w:cs="仿宋"/>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60" w:leftChars="0"/>
        <w:textAlignment w:val="auto"/>
        <w:rPr>
          <w:rFonts w:hint="eastAsia" w:ascii="仿宋" w:hAnsi="仿宋" w:eastAsia="仿宋" w:cs="仿宋"/>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60" w:leftChars="0" w:firstLine="5040" w:firstLineChars="18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医学院</w:t>
      </w:r>
      <w:r>
        <w:rPr>
          <w:rFonts w:hint="eastAsia" w:ascii="宋体" w:hAnsi="宋体" w:eastAsia="宋体" w:cs="宋体"/>
          <w:color w:val="auto"/>
          <w:sz w:val="28"/>
          <w:szCs w:val="28"/>
          <w:lang w:val="en-US" w:eastAsia="zh-CN"/>
        </w:rPr>
        <w:t>·</w:t>
      </w:r>
      <w:r>
        <w:rPr>
          <w:rFonts w:hint="eastAsia" w:ascii="仿宋" w:hAnsi="仿宋" w:eastAsia="仿宋" w:cs="仿宋"/>
          <w:color w:val="auto"/>
          <w:sz w:val="28"/>
          <w:szCs w:val="28"/>
          <w:lang w:val="en-US" w:eastAsia="zh-CN"/>
        </w:rPr>
        <w:t>整合医学学院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60" w:leftChars="0" w:firstLine="5600" w:firstLineChars="20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2020年5月26日</w:t>
      </w:r>
    </w:p>
    <w:p>
      <w:pPr>
        <w:tabs>
          <w:tab w:val="left" w:pos="658"/>
        </w:tabs>
        <w:bidi w:val="0"/>
        <w:jc w:val="left"/>
        <w:rPr>
          <w:rFonts w:hint="eastAsia" w:cstheme="minorBidi"/>
          <w:color w:val="auto"/>
          <w:kern w:val="21"/>
          <w:sz w:val="21"/>
          <w:szCs w:val="24"/>
          <w:lang w:val="en-US" w:eastAsia="zh-CN" w:bidi="ar-SA"/>
        </w:rPr>
      </w:pPr>
      <w:r>
        <w:rPr>
          <w:rFonts w:hint="eastAsia" w:cstheme="minorBidi"/>
          <w:color w:val="auto"/>
          <w:kern w:val="21"/>
          <w:sz w:val="21"/>
          <w:szCs w:val="24"/>
          <w:lang w:val="en-US" w:eastAsia="zh-CN" w:bidi="ar-SA"/>
        </w:rPr>
        <w:tab/>
      </w:r>
    </w:p>
    <w:p>
      <w:pPr>
        <w:tabs>
          <w:tab w:val="left" w:pos="658"/>
        </w:tabs>
        <w:bidi w:val="0"/>
        <w:jc w:val="left"/>
        <w:rPr>
          <w:rFonts w:hint="eastAsia" w:cstheme="minorBidi"/>
          <w:color w:val="auto"/>
          <w:kern w:val="21"/>
          <w:sz w:val="21"/>
          <w:szCs w:val="24"/>
          <w:lang w:val="en-US" w:eastAsia="zh-CN" w:bidi="ar-SA"/>
        </w:rPr>
      </w:pPr>
    </w:p>
    <w:p>
      <w:pPr>
        <w:tabs>
          <w:tab w:val="left" w:pos="658"/>
        </w:tabs>
        <w:bidi w:val="0"/>
        <w:jc w:val="left"/>
        <w:rPr>
          <w:rFonts w:hint="eastAsia" w:cstheme="minorBidi"/>
          <w:color w:val="auto"/>
          <w:kern w:val="21"/>
          <w:sz w:val="21"/>
          <w:szCs w:val="24"/>
          <w:lang w:val="en-US" w:eastAsia="zh-CN" w:bidi="ar-SA"/>
        </w:rPr>
      </w:pPr>
    </w:p>
    <w:p>
      <w:pPr>
        <w:tabs>
          <w:tab w:val="left" w:pos="658"/>
        </w:tabs>
        <w:bidi w:val="0"/>
        <w:jc w:val="left"/>
        <w:rPr>
          <w:rFonts w:hint="eastAsia" w:cstheme="minorBidi"/>
          <w:color w:val="auto"/>
          <w:kern w:val="21"/>
          <w:sz w:val="21"/>
          <w:szCs w:val="24"/>
          <w:lang w:val="en-US" w:eastAsia="zh-CN" w:bidi="ar-SA"/>
        </w:rPr>
      </w:pPr>
    </w:p>
    <w:p>
      <w:pPr>
        <w:tabs>
          <w:tab w:val="left" w:pos="658"/>
        </w:tabs>
        <w:bidi w:val="0"/>
        <w:jc w:val="left"/>
        <w:rPr>
          <w:rFonts w:hint="eastAsia" w:cstheme="minorBidi"/>
          <w:color w:val="auto"/>
          <w:kern w:val="21"/>
          <w:sz w:val="21"/>
          <w:szCs w:val="24"/>
          <w:lang w:val="en-US" w:eastAsia="zh-CN" w:bidi="ar-SA"/>
        </w:rPr>
      </w:pPr>
    </w:p>
    <w:p>
      <w:pPr>
        <w:tabs>
          <w:tab w:val="left" w:pos="658"/>
        </w:tabs>
        <w:bidi w:val="0"/>
        <w:jc w:val="left"/>
        <w:rPr>
          <w:rFonts w:hint="eastAsia" w:cstheme="minorBidi"/>
          <w:color w:val="auto"/>
          <w:kern w:val="21"/>
          <w:sz w:val="21"/>
          <w:szCs w:val="24"/>
          <w:lang w:val="en-US" w:eastAsia="zh-CN" w:bidi="ar-SA"/>
        </w:rPr>
      </w:pPr>
    </w:p>
    <w:p>
      <w:pPr>
        <w:tabs>
          <w:tab w:val="left" w:pos="658"/>
        </w:tabs>
        <w:bidi w:val="0"/>
        <w:jc w:val="left"/>
        <w:rPr>
          <w:rFonts w:hint="default" w:cstheme="minorBidi"/>
          <w:color w:val="auto"/>
          <w:kern w:val="21"/>
          <w:sz w:val="21"/>
          <w:szCs w:val="24"/>
          <w:lang w:val="en-US" w:eastAsia="zh-CN" w:bidi="ar-SA"/>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26731"/>
    <w:rsid w:val="00AB5948"/>
    <w:rsid w:val="00D66C89"/>
    <w:rsid w:val="01937E50"/>
    <w:rsid w:val="03CB0D11"/>
    <w:rsid w:val="0439233A"/>
    <w:rsid w:val="04AE628C"/>
    <w:rsid w:val="04B26731"/>
    <w:rsid w:val="04E32862"/>
    <w:rsid w:val="051B663B"/>
    <w:rsid w:val="05D61049"/>
    <w:rsid w:val="07CD0C3A"/>
    <w:rsid w:val="07E32CC2"/>
    <w:rsid w:val="0E201D5A"/>
    <w:rsid w:val="10F35C90"/>
    <w:rsid w:val="112A7D48"/>
    <w:rsid w:val="12CE1EA6"/>
    <w:rsid w:val="16395710"/>
    <w:rsid w:val="16CC0E90"/>
    <w:rsid w:val="184D173B"/>
    <w:rsid w:val="216810F5"/>
    <w:rsid w:val="255308FF"/>
    <w:rsid w:val="255B63AA"/>
    <w:rsid w:val="260A0087"/>
    <w:rsid w:val="26C33D54"/>
    <w:rsid w:val="28A27207"/>
    <w:rsid w:val="28A3279B"/>
    <w:rsid w:val="29FA11A2"/>
    <w:rsid w:val="2A2922E5"/>
    <w:rsid w:val="2A963FAF"/>
    <w:rsid w:val="2B3D29C6"/>
    <w:rsid w:val="2CA94702"/>
    <w:rsid w:val="2F941698"/>
    <w:rsid w:val="311F4476"/>
    <w:rsid w:val="321C219B"/>
    <w:rsid w:val="33D41467"/>
    <w:rsid w:val="340A35EA"/>
    <w:rsid w:val="37E5483A"/>
    <w:rsid w:val="398A6C67"/>
    <w:rsid w:val="3DFF7CA7"/>
    <w:rsid w:val="3FF46B25"/>
    <w:rsid w:val="42AE0499"/>
    <w:rsid w:val="45EE02D6"/>
    <w:rsid w:val="48565DCA"/>
    <w:rsid w:val="4E2E231E"/>
    <w:rsid w:val="4E4032ED"/>
    <w:rsid w:val="51154AC3"/>
    <w:rsid w:val="528C43C8"/>
    <w:rsid w:val="52B57E09"/>
    <w:rsid w:val="5365095D"/>
    <w:rsid w:val="55E0499D"/>
    <w:rsid w:val="57770FF5"/>
    <w:rsid w:val="588D142C"/>
    <w:rsid w:val="58A61F28"/>
    <w:rsid w:val="60CF5BAE"/>
    <w:rsid w:val="61F87246"/>
    <w:rsid w:val="63AD4A9F"/>
    <w:rsid w:val="65876A3B"/>
    <w:rsid w:val="69BE75A8"/>
    <w:rsid w:val="6FD45976"/>
    <w:rsid w:val="728E76AE"/>
    <w:rsid w:val="73A837F5"/>
    <w:rsid w:val="73E127C2"/>
    <w:rsid w:val="75707216"/>
    <w:rsid w:val="796B7177"/>
    <w:rsid w:val="7B591054"/>
    <w:rsid w:val="7B843766"/>
    <w:rsid w:val="7C7A2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1"/>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2019-12-13T02:56:00Z</dcterms:created>
  <dc:creator>dell</dc:creator>
  <cp:lastModifiedBy>dell</cp:lastModifiedBy>
  <cp:lastPrinted>2020-05-25T09:17:00Z</cp:lastPrinted>
  <dcterms:modified xsi:type="dcterms:W3CDTF">2020-05-26T02:08:34Z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